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образовательной автономной некоммерческой организации высшего образования «Институт Экономики Бизнеса» на нарушение ее конституционных прав статьями 48 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образовательной автономной некоммерческой организации высшего образования «Институт Экономики Бизнеса»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Образовательная автономная некоммерческая организация высшего образования «Институт Экономики Бизнеса» (далее также – ИНЭКБИ) оспаривает конституционность статей 48 «Процессуальное правопреемство» и 69 «Основания освобождения от доказывания» АПК Российской Федерации. Как следует из представленных материалов, решением арбитражного суда и дополнительным решением этого суда, оставленными без изменения арбитражными судами вышестоящих инстанций, частично удовлетворены исковые требования юридического лица к ИНЭКБИ и другим ответчикам о признании генерального инвестиционного договора недействительным. 2 Письмом заместителя Председателя Верховного Суда Российской Федерации ИНЭКБИ была информирована об отсутствии оснований для удовлетворения жалобы, поданной в порядке части 1 статьи 30810 АПК Российской Федерации. По мнению заявителя, оспариваемые законоположения нарушают его права, гарантированные статьями 2, 7 (часть 1), 8, 15 (часть 4), 17 (часть 1), 18, 19 (части 1 и 2), 35 (части 1 и 2), 45, 46, 55 (части 2 и 3) и 123 (часть 3) Конституции Российской Федерации, поскольку они, не регламентируя порядка осуществления правопреемства в правоотношении, возникшем в рамках государственно-частного партнерства, допускают возможность процессуального правопреемства без вынесения специального судебного акта по этому вопросу и в отсутствие соответствующих материально- правовых оснований, а также позволяют арбитражным судам игнорировать выводы, содержащиеся во вступивших в законную силу судебных актах, принятых по спору между теми же сторонами, по поводу того же требования и в связи с теми же фактическими обстоятельствами.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положениям статьи 48 АПК Российской Федерации в случаях выбытия одной из сторон в спорном или установленном судебным актом арбитражного суда правоотношении (реорганизация юридического лица, уступка требования, перевод долга, смерть гражданина и другие случаи перемены лиц в обязательствах) арбитражный суд производит замену этой стороны ее правопреемником и указывает на это в судебном акте, который может быть обжалован (части 1 и 2).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образовательной автономной некоммерческой организации высшего образования «Институт Экономики Бизнеса»,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