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пунктом 2 статьи 1070 Гражданского кодекса Российской Федерации, а также частью первой статьи 3 и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конституционность: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Федерации, а фактически – положения этого пункта, в соответствии с которым вред, причиненный при осуществлении правосудия, возмещается в случае, если вина судьи установлена приговором суда, вступившим в законную силу; 2 части первой статьи 3 «Право на обращение в суд» и пункта 1 части первой статьи 134 «Отказ в принятии искового заявления» ГПК Российской Федерации, а фактически – его положения, согласно которому судья отказывает в принятии искового заявления в случае,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судах. Определением суда общей юрисдикции, с которым согласились суды вышестоящих инстанций, в том числе судья Верховного Суда Российской Федерации, отказано в принятии искового заявления С.Б.Козловой о взыскании компенсации морального вреда, причиненного в результате вынесения незаконного, как она полагала, определения суда о взыскании с нее судебных расходов по гражданскому делу. Суды исходили из того, что заявленное требование не подлежит рассмотрению в порядке гражданского судопроизводства, поскольку законом установлен иной порядок проверки законности и обоснованности судебных постановлений, а вина судьи не установлена приговором суда или иным судебным решением. По мнению заявительницы, оспариваемые положения не соответствуют статьям 10, 11, 118, 120 и 122 Конституции Российской Федерации в той мере, в какой по смыслу, придаваемому им правоприменительной практикой, они исключают право гражданина на обращение в суд с исковым заявлением о возмещении вреда, причиненного в результате произвольного применения судом статей 103 «Возмещение судебных расходов, понесенных судом в связи с рассмотрением дела» и 1031 «Разрешение вопросов о судебных расходах» ГПК Российской Федерации и установления им при этом оснований для отмены преюдициального судебного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