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Когута Владимира Николаевича на нарушение его конституционных прав статьями 142 и 192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В.Н.Когута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В.Н.Когут оспаривает конституционность статьи 142 «Ответственность работодателя за нарушение сроков выплаты заработной платы и иных сумм, причитающихся работнику» и статьи 192 «Дисциплинарные взыскания» Трудового кодекса Российской Федерации. По мнению заявителя, оспариваемые положения не соответствуют статьям 1 (часть 1), 4 (часть 2), 15 (части 1 и 2), 17, 19 (части 1 и 2), 37 (части 1 и 2), 45 (часть 1), 46 (часть 1), 55 (часть 3) и 123 (часть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а также с учетом судебного толкования в деле заявителя не подразумевают для 2 работника возможности отказаться от выхода на работу по истечении двухнедельного срока, предусмотренного статьей 80 Трудового кодекса Российской Федерации, тем самым предоставляя работодателю право применить к работнику дисциплинарное взыскание в виде увольнения в тот период, когда работник уже фактически не состоит с ним в трудовых отношениях.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Когута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