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Герасимовой Светланы Архиповны на нарушение ее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С.А.Герасимовой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апелляционной и кассационной инстанций, гражданке С.А.Герасимовой отказано в удовлетворении заявления о пересмотре вынесенного по ее делу в 2007 году решения суда по вновь открывшимся обстоятельствам. В качестве таких обстоятельств она указывала на заключение специалиста по итогам почерковедческого исследования письменного доказательства, проведенного по ее инициативе. Определением судьи Верховного Суда Российской Федерации отказано в передаче 2 кассационной жалобы заявительницы для рассмотрения в судебном заседании суда кассационной инстанции. В связи с этим заявительница полагает, что часть третья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не соответствует статьям 1 (часть 1), 4 (часть 2), 15 (части 1 и 2), 17, 19 (части 1 и 2), 45 (часть 1), 46 (части 1 и 2), 55 (часть 3), 120 (часть 1) и 123 (часть 3)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позволяет судам отказывать в пересмотре решения суда по вновь открывшимся обстоятельствам лишь с формальным указанием на его недопустимость по причине несогласия заявителя с выводами суда в части оценки доказательств и установленных обстоятельств, без исследования по существу заявленных доводов, а также допускает такой пересмотр по причине фальсификации доказательств только при наличии вступившего в законную силу приговора суда, не предполагая возможности признания в качестве основания для пересмотра установленного заключением специалиста факта фальсификации положенного в основу решения суда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данного законоположения,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3 существо принятого судебного постановления, о которых не знал и не мог знать заявитель, а также суд при вынесении этого постановления. Таким образом, часть третья статьи 392 ГПК Российской Федерации, не препятствующая участвующему в деле лицу заявить о подложности доказательства при рассмотрении этого дела, а суду – назначить для проверки этого заявления экспертизу (статья 186 ГПК Российской Федерации), не может расцениваться в качестве нарушающей конституционные права С.А.Герасимовой, при рассмотрении заявления которой о пересмотре решения суда по вновь открывшимся обстоятельствам суд указал, помимо прочего, на пропуск срока на подачу в суд соответствующего заявления, что является самостоятельным основанием для отказа в его удовлетворении. Установление же того, могли ли обстоятельства, на которые ссылалась заявительница, рассматриваться как существенные и служить основанием для пересмотра вступившего в законную силу судебного постановления по делу с ее участием,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Герасимовой Светланы Архиповны,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