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Исхакова Фатхуллы Бадретдиновича на нарушение его конституционных прав частью первой статьи 12 Федерального закона «О введении в действие части второй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Ф.Б.Исхакова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12 Федерального закона от 26 января 1996 года № 15-ФЗ «О введении в действие части второй Гражданского кодекса Российской Федерации» в части первой устанавливает, что действие статей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 распространяется также на случаи, когда причинение 2 вреда потерпевшему имело место до 1 марта 1996 года, но не ранее 1 марта 1993 года, и причиненный вред остался невозмещенным. Конституционность приведенной нормы оспаривает гражданин Ф.Б.Исхаков, чье право на реабилитацию за незаконное и необоснованное уголовное преследование было признано определением Верховного Суда Российской Федерации в связи с отменой приговора народного суда 1959 года (которым заявитель был осужден за покушение на убийство трех потерпевших) и последующих судебных решений. Признание права на реабилитацию стало следствием исполнения Постановления Конституционного Суда Российской Федерации от 16 декабря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Исхакова Фатхуллы Бадретдиновича,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