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Бессмертных Ольги Геннадьевны на нарушение ее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О.Г.Бессмертных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О.Г.Бессмертных оспаривает конституционность части первой статьи 392 (в жалобе ошибочно названа статьей 229)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2 увольнением сведений о трудовой деятельности (статья 661 данного Кодекса) у работодателя по последнему месту работы. По мнению заявительницы, оспариваемая норма, примененная в ее деле судом, противоречит Конституции Российской Федерации, ее статьям 15 (части 1 и 2), 17 (часть 1), 18, 19 (часть 1), 37 (части 4 и 5), 46 (часть 1) и 55 (часть 3), поскольку в связи с отсутствием в ней указания на трехгодичный срок обращения в суд по спору об увольнении после установления судом факта трудовых отношений позволяет отказывать в удовлетворении требования работника о восстановлении на работе ввиду пропуска им месячного срока на обращение в суд с момента установления названного факта.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Бессмертных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