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Мальцева Дениса Владимировича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Д.В.Мальцева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Д.В.Мальцев, осужденный за совершение преступлений, связанных с незаконным оборотом наркотических средств, просит признать не соответствующими статьям 2, 15 (части 1 и 2), 17, 18, 19 (части 1 и 2), 21 (часть 1), 24 (часть 2), 45, 46 (часть 1), 49 (части 2 и 3), 50 (часть 2), 55 (часть 3), 56 (часть 3), 118 (часть 2), 120 (часть 1), 123 (часть 3) и 125 (часть 6) Конституции Российской Федерации статьи 11 «Охрана прав и свобод человека и гражданина в уголовном судопроизводстве», 15 «Состязательность сторон», 16 «Обеспечение подозреваемому и обвиняемому права на защиту», 47 «Обвиняемый», 75 «Недопустимые 2 доказательства», 82 «Хранение вещественных доказательств», 154 «Выделение уголовного дела», 155 «Выделение в отдельное производство материалов уголовного дела», 195 «Порядок назначения судебной экспертизы», 198 «Права подозреваемого, обвиняемого, потерпевшего, свидетеля при назначении и производстве судебной экспертизы», пункты 9 и 10 части первой и часть третью статьи 204 «Заключение эксперта», пункты 5 и 6 части первой статьи 220 «Обвинительное заключение», статьи 2391 «Выделение уголовного дела», 240 «Непосредственность и устность» и 244 «Равенство прав сторон» УПК Российской Федерации. Согласно позиции заявителя, оспариваемые нормы нарушают его права, поскольку допускают несвоевременное ознакомление с постановлениями о назначении судебных экспертиз; необоснованный отказ суда в удовлетворении ходатайств о назначении дополнительных и повторных судебных экспертиз, а также в вызове экспертов в судебное заседание для допроса; уничтожение вещественных доказательств по выделенному уголовному делу (после вступления приговора в законную силу) до вынесения приговора по основному делу; использование в процессе доказывания по уголовному делу результатов оперативно-розыскных мероприятий, не отвечающих предъявляемым к доказательствам требованиям.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Д.В.Мальцев,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утверждает о нарушениях порядка собирания и закрепления доказательств по его уголовному делу, об обосновании приговора недопустимыми доказательствами, иных существенных нарушениях порядка уголовного судопроизводства. 3 Тем самым заявитель фактически предлагает Конституционному Суду Российской Федерации дать оценку не нормам законодательства, а правоприменительным решениям и действиям,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Мальцева Дениса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