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Городилова Валерия Васильевича на нарушение его конституционных прав пунктом 3 статьи 797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В.В.Городилова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В.В.Городилов, являющийся индивидуальным предпринимателем, оспаривает конституционность пункта 3 статьи 797 ГК Российской Федерации, согласно которому срок исковой давности по требованиям, вытекающим из перевозки груза, устанавливается в один год с момента, определяемого в соответствии с транспортными уставами и кодексами. Как следует из представленных материалов, решением арбитражного суда, с которым согласились вышестоящие суды, с В.В.Городилова (грузополучателя) по иску собственника вагонов-цистерн взысканы убытки. При этом суды установили факт возвращения истцу этих вагонов в 2 неисправном состоянии и с остатками перевозимого груза, а также отклонили довод ответчика о применении к спорным правоотношениям специального (годичного) срока исковой давности. По мнению В.В.Городилова, оспариваемая норма не соответствует Конституции Российской Федерации, в том числе ее статьям 19, 45 и 46, поскольку содержит неопределенность, порождающую противоречивую судебную практику по вопросу о применимости сокращенного срока исковой давности к требованиям, вытекающим из перевозки груза.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Гражданскому кодексу Российской Федерации общий срок исковой давности составляет три года, но для отдельных видов требований законом могут устанавливаться специальные сроки (статьи 196 и 197). Установление в законе срока исковой давности (т.е. срока для защиты интересов лица, право которого нарушено), а также последствий его пропуска обусловлено необходимостью обеспечить стабильность гражданского оборота и не может рассматриваться как нарушающее какие- либо конституционные права (определения Конституционного Суда Российской Федерации от 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Городилова Валерия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