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«Ленстройтрест № 5» на нарушение его конституционных прав пунктом 10 Указа Президента Российской Федерации «О регулировании арендных отношений и приватизации имущества государственных и муниципальных предприятий, сданного в аренду»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«Ленстройтрест № 5»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«Ленстройтрест № 5» (далее также – общество), будучи правопреемником арендного предприятия, оспаривает конституционность пункта 10 Указа Президента Российской Федерации от 14 октября 1992 года № 1230 «О регулировании арендных отношений и приватизации имущества государственных и муниципальных предприятий, сданного в аренду» (данный правовой акт утратил силу в связи с изданием Указа Президента Российской Федерации от 2 сентября 2002 года № 944) о преобразовании арендного предприятия в акционерное общество открытого 2 типа и о выкупе имущества по договорам аренды, заключенным до вступления в силу Закона РСФСР от 3 июля 1991 года № 1531-I «О приватизации государственных и муниципальных предприятий в РСФСР».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государственного органа о признании отсутствующим права собственности заявителя на квартиру. Суды пришли к выводу об отсутствии доказательств, подтверждающих вложение ответчиком собственных средств в строительство жилого дома, в котором расположена спорная квартира, распределенная в 1992 году уполномоченным органом гражданину Ж. на условиях социального найма (посредством выдачи ордера) с последующим заключением с ним как нанимателем договора социального найма. По мнению общества, оспариваемая норма нарушает его конституционные права, предусмотренные статьей 35 Конституции Российской Федерации и статьей 52 Конституции (Основного Закона) Российской Федерации – России, поскольку она не подлежала применению в данном споре и позволила судам проигнорировать правовые акты и документы, свидетельствующие о законности нахождения квартиры в собственности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в жалобе заявителя доводы свидетельствуют о том, что, формально оспаривая конституционность указанного нормативного положения, которое само по себе не регламентирует состав приватизируемого имущества, он фактически выражает несогласие с выводом судов в отношении принадлежности конкретного объекта к имуществу, ранее арендованному предприятием и приватизированному, тем самым предлагает оценить фактические обстоятельства и обоснованность выбора правовых норм, подлежащих применению с учетом этих 3 обстоятельств. Между тем такая проверка, а также оценка соответствия нормативных актов положениям утратившей силу Конституции (Основного Закона) Российской Федерации – России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«Ленстройтрест № 5»,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