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Сучилина Василия Ивановича на нарушение его конституционных прав пунктом 1 статьи 11, пунктом 1 статьи 1064 и статьей 1072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В.И.Сучилина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В.И.Сучилин, с которого взыскан материальный ущерб, причиненный в результате дорожно-транспортного происшествия, в виде разницы между суммой выплаченного потерпевшему страхового возмещения (с учетом износа подлежащих замене комплектующих изделий, определяемого при расчете страхового возмещения в форме денежной выплаты) и действительной стоимостью восстановительного ремонта поврежденного транспортного средства, оспаривает конституционность пункта 1 статьи 11 «Судебная защита гражданских прав», пункта 1 статьи 1064 «Общие основания ответственности за причинение вреда» и статьи 1072 «Возмещение вреда лицом, застраховавшим свою ответственность» ГК Российской Федерации. 2 По мнению В.И.Сучилина, оспариваемые нормы не соответствуют статьям 15 (части 1 и 2), 17 (часть 1), 19 (часть 1), 55 (части 2 и 3) и 57 Конституции Российской Федерации, поскольку предполагают возмещение потерпевшему имущественного вреда за счет причинившего вред лица, риск гражданской ответственности которого застрахован в соответствии с Федеральным законом от 25 апреля 2002 года № 40-ФЗ «Об обязательном страховании гражданской ответственности владельцев транспортных средств», в случае, если ущерб не превышает лимита ответственности страховщика, что позволяет страховщикам уклоняться от исполнения своих обязательств и перекладывать их на причинителя вреда.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положения пункта 1 статьи 1064 и статьи 1072 ГК Российской Федерации направлены на защиту и обеспечение восстановления нарушенных прав потерпевших, в том числе путем полного возмещения причиненного им вреда, а тем самым – на реализацию закрепленного в статье 35 (часть 1) Конституции Российской Федерации принципа охраны права частной собственности законом. Эти положения – с учетом правовой позиции, сформулированной Конституционным Судом Российской Федерации в Постановлении от 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Сучилина Василия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