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«Речстандарт» на нарушение его конституционных прав частью первой статьи 303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«Речстандарт»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«Речстандарт» (далее также – общество) оспаривает конституционность части первой статьи 303 ГК Российской Федерации, согласно которой 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2 должен был узнать о неправомерности владения или получил повестку по иску собственника о возврате имущества. Из представленных материалов следует, что решением арбитражного суда (принятом при новом рассмотрении дела), с которым согласились суды вышестоящих инстанций, с заявителя взыскана сумма неосновательного обогащения в размере доходов, полученных от передачи судов в аренду по договору аренды без экипажа. По мнению общества, оспариваемое положение не соответствует статьям 8 (часть 2), 18, 19 (части 1 и 2), 34 (часть 1), 35 (части 1–3), 55 и 57 Конституции Российской Федерации в той мере, в какой оно создает неопределенность в вопросе корректного определения доходов, подлежащих возврату недобросовестным владельцем, не позволяя учитывать обоснованные расходы на содержание имущества, в том числе суммы уплаченных налогов и расходы на страхование.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«Речстандарт»,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