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Борадули Ирины Ивановны на нарушение ее конституционных прав пунктом 1 статьи 200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И.И.Борадули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И.И.Борадуля, осужденная за совершение мошенничества, выразившегося в незаконном приобретении права на квартиру, оспаривает конституционность пункта 1 статьи 200 «Начало течения срока исковой давности» ГК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в удовлетворении искового требования И.И.Борадули о взыскании неосновательного обогащения, возникшего в результате затрат на содержание, сохранение и ремонт квартиры, полученной заявительницей на основании впоследствии признанного недействительным договора социального найма, а также убытков, вызванных последующим изменением 2 стоимости квартиры, отказано. Суды среди прочего исходили из того, что И.И.Борадулей был пропущен срок исковой давности.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пункт 1 статьи 200 ГК Российской Федерации противоречит Конституции Российской Федерации, ее статьям 2, 18, 19 (части 1 и 2), 35 (часть 1) и 46 (часть 1), поскольку он содержит неопределенные формулировки и позволяет правоприменителю по-разному толковать названное положение.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Борадули Ирины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