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Ростовщикова Игоря Викторовича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И.В.Ростовщикова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И.В.Ростовщиков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судами вышестоящих инстанций без изменения, И.В.Ростовщикову отказано в пересмотре решения суда по 2 трудовому спору в связи с новым обстоятельством, в качестве которого заявитель указывал принятие Конституционным Судом Российской Федерации Постановления от 15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пункт 3 части четвертой статьи 392 ГПК Российской Федерации – рассматриваемый с учетом предписаний части третьей статьи 79 Федерального конституционного закона «О Конституционном Суде Российской Федерации», устанавливающих случаи, когда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3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 в том числе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Ростовщикова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