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Волынец Кристины Александровны на нарушение ее конституционных прав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К.А.Волынец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К.А.Волынец оспаривает конституционность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апелляционным определением было отменено решение мирового судьи и постановлено новое решение об удовлетворении исковых требований юридического лица к К.А.Волынец о взыскании задолженности по договору займа. 2 Письмом работника аппарата Верховного Суда Российской Федерации кассационная жалоба заявительницы была возвращена ей без рассмотрения по существу. По мнению заявительницы, оспариваемое законоположение противоречит Конституции Российской Федерации, ее статьям 46 и 47, поскольку исключает возможность обжалования в Судебную коллегию по гражданским делам Верховного Суда Российской Федерации судебных постановлений, принятых по делу, подсудному мировому судье. Кроме того, К.А.Волынец просит дать толкование части 24 статьи 5 «Условия договора потребительского кредита (займа)» Федерального закона от 21 декабря 2013 года № 353-ФЗ «О потребительском кредите (займе)» в целях правильного применения ее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Волынец Кристины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