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2973-О/2024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Обуховой Ольги Геннадьевны на нарушение ее конституционных прав частями первой и третьей статьи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О.Г.Обуховой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Гражданке О.Г.Обуховой суд отказал в принятии к рассмотрению жалобы, поданной в порядке статьи 125 «Судебный порядок рассмотрения жалоб» УПК Российской Федерации, ввиду отсутствия предмета обжалования, с чем согласились вышестоящие суды, включая Верховный Суд Российской Федерации. До принятия этого решения судом к делу приобщен ответ руководителя органа расследования о нахождении в вышестоящем следственном органе материала предварительной проверки, в рамках которого бездействие данного руководителя обжаловала заявительница. 2 В этой связи О.Г.Обухова просит признать части первую и третью статьи 125 УПК Российской Федерации не соответствующими статьям 19, 46 (части 1 и 2) и 123 (часть 3) Конституции Российской Федерации, поскольку они не содержат запрета на приобщение к делу полученных из органа расследования сведений до решения вопроса о принятии жалобы к производству. Также заявительница просит Конституционный Суд Российской Федерации обратиться в Государственную Думу в целях внесения изменений в Уголовно- процессуальный кодекс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Обуховой Ольги Геннадьевны,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