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3105-О/2024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Г. на нарушение ее конституционных прав положениями ряда законодательных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Г., которой отказано в иске о признании незаконными действий по собиранию информации о ее частной жизни, возложении обязанности удалить информацию из экспертного заключения и о компенсации морального вреда, оспаривает конституционность статей 150 «Нематериальные блага», 151 «Компенсация морального вреда», пункта 1 статьи 1522 «Охрана частной жизни гражданина» ГК Российской Федерации, статей 8 «Независимость судей», 33 «Передача дела, принятого судом к своему производству, в другой суд», 55 «Доказательства», 56 «Обязанность доказывания», 59 «Относимость доказательств», 67 «Оценка доказательств», 181 «Исследование письменных доказательств», 195 «Законность и 2 обоснованность решения суда», 196 «Вопросы, разрешаемые при принятии решения суда», 198 «Содержание решения суда» ГПК Российской Федерации, статей 57 «Эксперт», 74 «Доказательства», 88 «Правила оценки доказательств», пункта 9 части первой статьи 204 «Заключение эксперта», статьи 285 «Оглашение протоколов следственных действий и иных документов» УПК Российской Федерации, статьи 16 «Обязанности эксперта» Федерального закона от 31 мая 2001 года № 73-ФЗ «О государственной судебно-экспертной деятельности в Российской Федерации», части 8 статьи 9 «Ограничение доступа к информации» Федерального закона от 27 июля 2006 года № 149-ФЗ «Об информации, информационных технологиях и защите информации», статьи 13 «Соблюдение врачебной тайны», части 2 статьи 62 «Судебно-медицинская и судебно-психиатрическая экспертизы», статьи 73 «Обязанности медицинских работников и фармацевтических работников» Федерального закона от 21 ноября 2011 года № 323-ФЗ «Об основах охраны здоровья граждан в Российской Федерации». По мнению заявительницы, оспариваемые положения противоречат статьям 17–24, 33, 41, 45, 46, 49, 51–53 и 55 Конституции Российской Федерации, поскольку позволяют врачу-психиатру произвольно собирать и хранить информацию о частной жизни пациента без его ведома и использовать ее при проведении судебно-психиатрической экспертизы, не обязывают его указывать источник полученной информации в экспертном заключении, позволяют судам не отражать в решении письменные доказательства истца и не оценивать их допустимость, а при определении территориальной подсудности гражданского дела суду апелляционной инстанции игнорировать тот факт, что потерпевшим по уголовному делу, из которого вытекает гражданское дело, является судья данного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заявительницей в обоснование своей позиции, свидетельствуют о том, что она, формально оспаривая конституционность 3 перечисленных в ее жалобе положений, по существу, просит установить процессуальные нарушения, допущенные, как она полагает, судами и должностными лицами в ее конкретном деле. Между тем такого рода проверка не относится к полномочиям Конституционного Суда Российской Федерации, определенным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