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Валютного управления Сингапура на нарушение его конституционных прав пунктом 1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Валютного управления Сингапура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Валютное управление Сингапура оспаривает конституционность пункта 1 статьи 200 ГК Российской Федерации, в соответствии с которым,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Как следует из представленных материалов, вступившими в законную силу актами арбитражных судов отказано в удовлетворении требований Валютного управления Сингапура о взыскании с налогового органа суммы излишне уплаченного налога на прибыль организаций с доходов, 2 полученных в виде дивидендов. При этом суды пришли к выводу о пропуске заявителем срока исковой давности, приняв во внимание момент, когда он узнал (должен был узнать) о факте излишнего удержания налога на прибыль организаций, а также отклонив довод о том, что при исчислении указанного срока необходимо учитывать период, затраченный на реализацию административного порядка возврата налога. По мнению заявителя, оспариваемое законоположение противоречит статье 46 (часть 1) Конституции Российской Федерации, поскольку по смыслу, придаваемому ему правоприменительной практикой, препятствует реализации права на судебную защиту налогоплательщиком, соблюдавшим административный порядок обращения за возвратом излишне уплаченного налога.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Налоговый кодекс Российской Федерации, предусматривая порядок возврата излишне уплаченных сумм налога (с 1 января 2023 года – денежных средств, формирующих положительное сальдо единого налогового счета), предполагает, по общему правилу, необходимость обращения с соответствующим заявлением в налоговый орган (статья 78 в редакции, действовавшей до 1 января 2023 года, и статья 79 в действующей редакции), действия (бездействие) которого подлежат обжалованию в вышестоящий налоговый орган, а также в суд в порядке и в сроки, предусмотренные налоговым законом и соответствующим процессуальным законом (статьи 138 и 139). С учетом сказанного оспариваемый пункт 1 статьи 200 ГК Российской Федерации, предусматривающий общее правило о течении срока исковой давности и имеющий самостоятельное значение при предъявлении исковых требований в суд, предоставляющий по смыслу, придаваемому ему правоприменительной практикой, возможность реализации налогоплательщиком дополнительного способа судебной защиты прав путем 3 обращения, в том числе в арбитражный суд, с иском о возврате из бюджета излишне уплаченной суммы, не может рассматриваться как нарушающий конституционные права заявителя в указанном в жалобе аспекте. Проверка же обоснованности правоприменительных решений, в том числе в части соблюдения заявителем срока исковой давности,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Валютного управления Сингапура,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