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804335-П/2024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Артеменко Романа Вадимовича на нарушение его конституционных прав статьей 6.11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Р.В.Артеменко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Р.В.Артеменко оспаривает конституционность статьи 6.11 «Побои» КоАП Российской Федерации. Как следует из представленных материалов, постановлением мирового судьи, оставленным без изменения вышестоящими судами, Р.В.Артеменко был привлечен к административной ответственности за нанесение побоев. Доводы заявителя и его защитника о том, что Р.В.Артеменко действовал в состоянии необходимой обороны (крайней необходимости), суды отклонили, указав, что эти утверждения опровергаются собранными по делу доказательствами. 2 Заявитель, не соглашаясь с выводами судов, указывает в своей жалобе на то, что в ходе конфликта он защищался от нападения со стороны потерпевшего. По мнению заявителя, привлечение его к административной ответственности было обусловлено тем, что Кодекс Российской Федерации об административных правонарушениях не предусматривает необходимую оборону в качестве обстоятельства, исключающего противоправность деяния. В связи с этим он просит признать оспариваемое законоположение не соответствующим статье 21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Артеменко Романа Вадимовича,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