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С.Е. на нарушение ее конституционных прав статьей 52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С.Е.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С.Е. оспаривает конституционность статьи 52 «Оспаривание отцовства (материнства)» Семейного кодекса Российской Федерации. Из представленных материалов следует, что определением суда общей юрисдикции, оставленным без изменения определением суда апелляционной инстанции, отказано в принятии искового заявления С.Е., направленного на оспаривание записи о гражданине С.Н. (ее дяде) как отце ребенка, родившегося менее чем через месяц после его смерти от матери, состоявшей в браке с С.Н., в книге записи рождений. Суды исходили из того, что заявительница не относится к лицам, которые в соответствии с пунктом 1 статьи 52 Семейного кодекса Российской Федерации могут обратиться в суд 2 с таким требованием. В передаче кассационной жалобы на названные определения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статья 52 Семейного кодекса Российской Федерации противоречит Конституции Российской Федерации, в частности ее статье 35 (часть 4), поскольку она не позволяет оспаривать в судебном порядке запись об отце ребенка в книге записей рождений, произведенную в соответствии с пунктом 1 статьи 51 данного Кодекса, по требованию наследника лица, записанного в качестве отца ребенка, если отец ребенка, состоявший в браке с его матерью, умер до его рождения.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С.Е.,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