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Тишкина Петра Николаевича на нарушение его конституционных прав частью 1 статьи 46 и частью 4 статьи 198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П.Н.Тишкина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П.Н.Тишкин оспаривает конституционность части 1 статьи 46 «Изменение основания или предмета административного иска, отказ от административного иска, признание административного иска, заключение сторонами соглашения о примирении» и части 4 статьи 198 «Порядок вынесения определения суда» КАС Российской Федерации. Как следует из представленных материалов, решением районного суда, с которым согласились вышестоящие суды, П.Н.Тишкину отказано в удовлетворении административного искового заявления об оспаривании действий (бездействия) должностных лиц прокуратуры. Протокольным 2 определением районного суда отказано в удовлетворении его заявления об изменении административных исковых требований. Заявитель полагает, что суд неправомерно отказал в удовлетворении заявления об изменении предмета административного иска, чем нарушил его право на судебную защиту. В связи с этим он просит признать оспариваемые законоположения не соответствующими статьям 18, 24 (часть 2)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административного судопроизводства Российской Федерации, среди прочего, закрепляет право административного истца до принятия судебного акта, которым заканчивается рассмотрение административного дела по существу в суде первой инстанции, изменить основание или предмет административного иска (часть 1 статьи 46), а также предусматривает возможность суда выносить протокольное определение в случаях, когда не требуется вынесение определения в виде отдельного судебного акта (части 3 и 4 статьи 198). При этом в силу пункта 5 части 1 и части 3 статьи 199 КАС Российской Федерации в определении, которое выносится судом в виде протокольного определения, должны быть указаны мотивы, по которым суд пришел к своим выводам, ссылки на законы и иные нормативные правовые акты, которыми руководствовался суд. Такое регулирование не предполагает возможности произвольного отказа в удовлетворении заявления об изменении предмета административного иска. Поэтому оспариваемые законоположения не могут рассматриваться как нарушающие конституционные права заявителя в указанном в его жалобе аспекте. Проверка обоснованности судебных актов, в том числе вынесенного определения по результатам рассмотрения вопроса об изменении предмета административного иска, как связанная с установлением и исследованием фактических обстоятельств, к компетенции Конституционного Суда 3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Тишкина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