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Мезинова Валентина Викторовича на нарушение его конституционных прав положениями статей 106, 107 и 108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В.В.Мезинова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В.В.Мезинов в своем требовании, обращенном к Конституционному Суду Российской Федерации, просит проверить на соответствие статьям 17 (часть 3) и 37 (части 1, 2 и 5) Конституции Российской Федерации статью 106 «Понятие времени отдыха», абзац второй (ошибочно поименованный пунктом 1 части 1) статьи 107 «Виды времени отдыха» и часть третью статьи 108 «Перерывы для отдыха и питания» Трудового кодекса Российской Федерации. По мнению заявителя, оспариваемые нормы, примененные в его деле судами общей юрисдикции, в системе действующего правового 2 регулирования по смыслу, придаваемому им правоприменительной практикой, допускают возможность нарушения работодателем правил внутреннего трудового распорядка организации и трудового договора, не обеспечивая работнику – в тех случаях, когда по условиям производства (работы) предоставление перерыва для отдыха и питания невозможно, – возможность отдыха и приема пищи в рабочее время, а также не предоставляя ему оплату за отработанное время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 Трудового кодекса Российской Федерации определяет время отдыха как время, в течение которого работник свободен от исполнения трудовых обязанностей и которое он может использовать по своему усмотрению. В дополнение к этому статья 107 Трудового кодекса Российской Федерации устанавливает виды времени отдыха, предоставляемые лицам, работающим по трудовому договору, включая в их число перерывы в течение рабочего дня (смены). В целях надлежащей защиты прав граждан, работающих по трудовым договорам, в силу части третьей статьи 108 Трудового кодекса Российской Федерации на работах, где по условиям производства (работы) предоставление перерыва для отдыха и питания невозможно, работодатель обязан обеспечить работнику возможность отдыха и приема пищи в рабочее время (перечень таких работ, а также места для отдыха и приема пищи устанавливаются правилами внутреннего трудового распорядка). Такое правовое регулирование направлено на реализацию права на отдых, гарантированного статьей 37 (часть 5) Конституции Российской Федерации, в равной мере распространяется на всех работников, не предполагает произвольного применения, вследствие чего устанавливающие его нормы не могут рассматриваться как нарушающие конституционные права заявителя. 3 Разрешение же вопроса о том, соблюдалось ли работодателем В.В.Мезинова законодательство о труде, а также локальные нормативные акты, и обеспечивалась ли ему возможность воспользоваться перерывом для отдыха и питания,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Мезинова Валентина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