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Салтанова Кирилла Сергеевича на нарушение его конституционных прав частью второй статьи 1, статьей 176, частями третьей и четвертой статьи 177, частью девятой1 статьи 182 и частью третьей1 статьи 183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К.С.Салтанова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районного суда, с которым с учетом внесенных в него изменений судом апелляционной инстанции согласились вышестоящие суды, гражданин К.С.Салтанов осужден за совершение преступления. При этом суды отвергли доводы поданных в интересах К.С.Салтанова жалоб о том, что исследованная судом первой инстанции видеозапись преступных действий, изъятая в ходе осмотра места происшествия с расположенной на территории исправительной колонии камеры видеонаблюдения, получена с нарушением закона. 2 В этой связи заявитель просит признать не соответствующими статьям 1 (часть 1), 2, 18, 19 (часть 1), 45 (часть 1), 50 (часть 2) и 55 (часть 3) Конституции Российской Федерации часть вторую статьи 1 «Законы, определяющие порядок уголовного судопроизводства», статью 176 «Основания производства осмотра», части третью и четвертую статьи 177 «Порядок производства осмотра», часть девятую1 статьи 182 «Основания и порядок производства обыска» и часть третью1 статьи 183 «Основания и порядок производства выемки» УПК Российской Федерации в той мере, в какой они в деле заявителя позволили в ходе осмотра места происшествия осуществить без законных оснований, участия специалиста и понятых выемку электронного носителя информации.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Возражая против судебной оценки фактических обстоятельств своего дела, К.С.Салтанов в обоснование своей позиции приводит доводы, которые свидетельствуют о том, что нарушение своих прав он связывает не с содержанием оспариваемых норм, а с невыполнением, по его мнению, их предписаний в его уголовном деле, а также с неправильным, по его утверждению, выбором органом предварительного расследования и судом норм права с учетом фактических обстоятельств конкретного дела. Тем самым заявитель, по существу, ставит перед Конституционным Судом Российской Федерации вопрос об оценке состоявшихся в его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Салтанова Кирилла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