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Алексея Геннадьевича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А.Г.Данилов оспаривает конституционность пункта 4 статьи 62 «Основные права государственного заказчика», части 3 статьи 12 «Обеспечение выполнения государственного оборонного заказа», статьи 152 «Полномочия контролирующего органа», а также в целом главы 51 «Государственный контроль (надзор) в сфере государственного оборонного заказа» и главы 52 «Рассмотрение дела о нарушении законодательства в сфере государственного оборонного заказа» Федерального закона от 29 декабря 2012 года № 275-ФЗ «О государственном оборонном заказе», части 1 статьи 23.82 «Федеральный орган исполнительной власти, осуществляющий функции по контролю и надзору в сфере государственного оборонного 2 заказа» КоАП Российской Федерации, части первой статьи 44 «Гражданский истец» и части первой статьи 54 «Гражданский ответчик» УПК Российской Федерации, статьи 153 «Понятие сделки» ГК Российской Федерации, статей 3 «Основные понятия, используемые в настоящем Федеральном законе» и 9 «Первичные учетные документы» Федерального закона от 6 декабря 2011 года № 402-ФЗ «О бухгалтерском учете». Как следует из представленных материалов, вступившим в законную силу приговором суда заявитель признан виновным в совершении преступления, выразившегося в пособничестве в растрате чужого имущества, вверенного виновному, совершенном лицом с использованием своего служебного положения, в особо крупном размере. Впоследствии решением суда общей юрисдикции, с которым согласились суды вышестоящих инстанций, частично удовлетворены требования уполномоченного органа о возмещении ущерба и взыскании с заявителя имущественного вреда, причиненного преступлением. Выражая несогласие с судебными решениями по своему конкретному делу и требуя их пересмотра, заявитель полагает, что оспариваемые нормы нарушают его права, а потому противоречат статьям 17 (часть 3), 18, 19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заявителем, свидетельствуют о том, что он, выражая несогласие с выводами судов о солидарном взыскании с него и иных осужденных лиц имущественного вреда, причиненного преступлением, фактически просит не о проверке конституционности положений нормативных актов, примененных в его конкретном деле, а об оценке принятых в отношении него правоприменительных решений и об установлении допущенных, как полагает А.Г.Данилов, при рассмотрении его дела нарушений норм материального и процессуального права. Между тем разрешение этих, а также иных поставленных в жалобе вопросов не входит в 3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Алексея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