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Лимонова Виталия Витальевича на нарушение его конституционных прав пунктом 9 части 2 статьи 182 Жилищного кодекса Российской Федерации, а также пунктом 5 Требований к осуществлению расчетов за ресурсы, необходимые для предоставления коммунальных услуг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В.В.Лимонова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В.В.Лимонов, которому судом отказано в том числе в признании отсутствующей задолженности по взносам на капитальный ремонт, оспаривает конституционность пункта 9 части 2 статьи 182 «Обязанности регионального оператора по организации проведения капитального ремонта общего имущества в многоквартирных домах» Жилищного кодекса Российской Федерации, а также пункта 5 Требований к осуществлению расчетов за ресурсы, необходимые для предоставления коммунальных услуг (утверждены Постановлением Правительства Российской Федерации от 28 марта 2012 года № 253, далее – Требования). 2 По мнению заявителя, оспариваемые нормы противоречат статьям 2, 17–19 и 46 Конституции Российской Федерации в той мере, в какой по смыслу, придаваемому правоприменительной практикой, они позволяют региональному оператору капитального ремонта произвольно исчислять суммы задолженности по взносам на капитальный ремонт и пени, основываясь на сверках расчетов с его контрагентами, несмотря на полную оплату собственником ранее выставленных ему счетов с учетом имевшейся задолженности.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9 части 2 статьи 182 Жилищного кодекса Российской Федерации, возлагающий на регионального оператора капитального ремонта обязанность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 а также пункт 5 Требований, закрепляющий порядок определения размера платежа (в общем размере платежей потребителя), причитающегося к перечислению в пользу ресурсоснабжающей организации, поставляющей конкретный вид ресурса, и регионального оператора, обеспечивают исполнение потребителем обязанности по внесению платы за жилое помещение и коммунальные услуги. Данные положения не могут расцениваться в качестве нарушающих в обозначенном в жалобе аспекте конституционные права заявителя, в деле с участием которого суды исходили из того, что произведенный им платеж не полностью погасил задолженность, образовавшуюся в связи с тем, что плата за жилищно-коммунальные услуги в предыдущие периоды производилась не в полном размере и в нарушение установленных сроков. 3 Установление же и оценка фактических обстоятельств, имеющих значение для разрешения конкретного дела,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Лимонова Виталия Витальевича,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