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3455-О/2024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Карпачева Анатолия Владимировича на нарушение его конституционных прав частью 1 статьи 62 и статьей 110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А.В.Карпачева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А.В.Карпачев (индивидуальный предприниматель), с которого как с лица, не в чью пользу принят судебный акт, арбитражными судами были взысканы судебные расходы, оспаривает конституционность части 1 статьи 62 «Полномочия представителя» и статьи 110 «Распределение судебных расходов между лицами, участвующими в деле» АПК Российской Федерации. Определением судьи Верховного Суда Российской Федерации заявителю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2 По мнению А.В.Карпачева, оспариваемые нормы в их взаимосвязи противоречат статьям 17 (часть 3), 18, 19 (часть 1), 34 (часть 2), 45 и 46 Конституции Российской Федерации, поскольку допускают возможность взыскания судебных расходов в пользу лица, не представившего доказательств факта несения этих расходов.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Возмещение судебных расходов на основании части 1 статьи 110 АПК Российской Федерации осуществляется той стороне, в пользу которой вынесен судебный акт, и в соответствии с тем судебным постановлением, которым спор разрешен по существу. Арбитражное процессуальное законодательство при этом исходит из того, что критерием присуждения судебных расходов при вынесении решения является вывод арбитражного суда о правомерности или неправомерности заявленного истцом требования. При этом возмещение судебных расходов возможно только в том случае, если выигравшая спор сторона реально понесла такие расходы в связи с защитой своих нарушенных прав в арбитражном суде. В случае же, когда участником судопроизводства в арбитражном суде не представлено доказательств, что он в действительности понес судебные расходы в связи с рассмотрением данного дела, в удовлетворении заявления должно быть отказано (часть 1 статьи 65 и часть 1 статьи 168 АПК Российской Федерации). Таким образом, статья 110 АПК Российской Федерации, обеспечивающая реализацию гарантий эффективной судебной защиты прав сторон в части возмещения судебных расходов, необходимых для такой защиты, не может рассматриваться в качестве нарушающей конституционные права заявителя, как и часть 1 статьи 62 того же Кодекса, которая регламентирует полномочия представителя в арбитражном процессе и не устанавливает правил распределения судебных расходов. 3 Оценка же обоснованности выводов арбитражных судов о наличии оснований для взыскания с А.В.Карпачева судебных расходов требует установления и исследования фактических обстоятельств конкретного дела и к компетенции Конституционного Суда Российской Федерации, определенной в статье 125 Конституции Российской Федерации и статье 3 Федерального конституционного закона «О Конституционном Суде Российской Федерации», не относится.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Карпачева Анатолия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