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3478-О/2024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Смагина Андрея Владимировича на нарушение его конституционных прав пунктом 1 статьи 57 и пунктом 3 статьи 21330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А.В.Смагина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гражданина А.В.Смагина и оставленным без изменения постановлениями судов апелляционной и кассационной инстанций, ходатайство должника о прекращении производства по делу оставлено без удовлетворения, а ходатайство финансового управляющего о продлении срока реализации имущества на четыре месяца удовлетворено. А.В.Смагин оспаривает конституционность пункта 1 статьи 57 «Основания для прекращения производства по делу о банкротстве» и пункта 3 статьи 21330 «Последствия признания гражданина банкротом» 2 Федерального закона от 26 октября 2002 года № 127-ФЗ «О несостоятельности (банкротстве)». По мнению заявителя, оспариваемые законоположения противоречат статьям 17, 19 (части 1 и 2), 34, 45 (часть 1), 46 (часть 1) и 55 (части 2 и 3) Конституции Российской Федерации в той мере, в какой они в системе действующего правового регулирования по смыслу, придаваемому им правоприменительной практикой, не допускают прекращения производства по делу о банкротстве в случае удовлетворения требований кредиторов по финансовым обязательствам и наличия в реестре лишь требований залогового кредитора, перед которым у должника отсутствует основное денежное обязательство. Кроме того, заявитель просит отменить вынесенные по его делу судебные решения.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57 Федерального закона «О несостоятельности (банкротстве)» преследует цель обеспечения определенности в вопросе об основаниях, при которых прекращается производство по делу о банкротстве, и предусматривает в их числе удовлетворение всех требований кредиторов, включенных в реестр требований кредиторов, в ходе любой процедуры, применяемой в деле о банкротстве. Данное законоположение не может расцениваться как нарушающее конституционные права заявителя, в деле с участием которого суд признал несостоятельным его довод о том, что он не является должником по обязательству перед банком, чьи требования включены в реестр требований кредиторов. Что касается пункта 3 статьи 21330 того же Федерального закона, то, вопреки требованиям статей 96 и 97 Федерального конституционного закона «О Конституционном Суде Российской Федерации», представленными судебными актами не подтверждается его применение в конкретном деле с участием заявителя. 3 Установление же и оценка фактических обстоятельств конкретного дела, равно как и внесение дополнений в действующее законодательство в части расширения перечня оснований для прекращения производства по делу о банкротстве, а также отмена вынесенных по конкретному делу судебных актов не входят в полномочия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Смагина Андрея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