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Дубровина Валерия Николаевича на нарушение его конституционных прав пунктом 11 части первой статьи 83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В.Н.Дубровина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В.Н.Дубровин оспаривает конституционность пункта 11 части первой статьи 83 Трудового кодекса Российской Федерации, согласно которому трудовой договор подлежит прекращению по такому обстоятельству, не зависящему от воли сторон, как отмена решения суда или отмена (признание незаконным) решения государственной инспекции труда о восстановлении работника на работе. Как следует из представленных материалов, в декабре 2019 года В.Н.Дубровин был уволен со службы по основанию, предусмотренному пунктом 11 части 2 статьи 84 Федерального закона от 19 июля 2018 года 2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(в связи с сокращением должности в уголовно-исполнительной системе, замещаемой сотрудником, при отсутствии возможности перемещения по службе либо при отказе сотрудника от перемещения по службе). За защитой своих прав он обратился в суд общей юрисдикции. В мае 2022 года заявитель был восстановлен на службе на основании апелляционного определения судебной коллегии по гражданским делам Краснодарского краевого суда от 10 февраля 2022 года. Однако в ноябре 2022 года приказ о восстановлении В.Н.Дубровина на службе был отменен в связи с тем, что последующим апелляционным определением того же суда по его делу вынесено новое решение, которым вместо восстановления заявителя на службе были изменены формулировка и дата его увольнения. По мнению В.Н.Дубровина, оспариваемая норма, примененная в его деле судами общей юрисдикции, противоречит статьям 17 (часть 3), 19 (часть 1) и 37 (части 1 и 3)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препятствует тому, чтобы срочный контракт о службе в уголовно-исполнительной системе, заключенный сотрудником, который был необоснованно уволен и оспаривал такое увольнение в суде, был признан контрактом, заключенным на неопределенный срок.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11 части первой статьи 83 Трудового кодекса Российской Федерации, предусматривая прекращение трудового договора в случае отмены решения суда о восстановлении работника на работе, направлен на обеспечение исполнения решения суда, установление определенности 3 правового положения работника, не предполагает произвольного применения и сам по себе не может рассматриваться как нарушающий конституционные права граждан, в том числе заявителя. Разрешение же вопроса о наличии оснований для прекращения с В.Н.Дубровиным служебных отношений и соблюдении законодательства в процессе его увольнения не относится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Дубровина Валерия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