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Аманатиди Владимира Николаевича на нарушение его конституционных прав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В.Н.Аманатиди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В.Н.Аманатиди оспаривает конституционность статьи 10 «Пределы осуществления гражданских прав» ГК Российской Федерации. Апелляционным определением, вынесенным после возвращения гражданского дела на новое рассмотрение в суд апелляционной инстанции кассационным судом общей юрисдикции и оставленным этим судом без изменения, отменены решение и дополнительное решение суда первой инстанции и вынесено новое решение, которым В.Н.Аманатиди отказано в удовлетворении требования о расторжении договора купли-продажи транспортного средства и других требований, связанных с защитой прав 2 потребителя. Суды признали недобросовестным поведение истца, уничтожившего дефектные, по его утверждению, части товара и тем самым лишившего ответчика возможности доказать, что недостатки товара возникли в результате ненадлежащей эксплуатации товара потребителем, а не производственного брака.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В.Н.Аманатиди для рассмотрения в судебном заседании суда кассационной инстанции. По мнению заявителя, оспариваемое положение не соответствует Конституции Российской Федерации в той мере, в какой по смыслу, придаваемому ему правоприменительной практикой, оно возлагает на потребителя бремя доказывания оснований для привлечения юридического лица к гражданско-правовой ответственности и позволяет последнему избегать ответственности за нарушение обязательств в случае совершения потребителем действий по устранению недостатков товара после первоначального рассмотрения спора в апелляционном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в статье 10 ГК Российской Федерации нормы, устанавливающие запрет на злоупотребление правом и правовые последствия злоупотребления правом, направлены на реализацию принципа, закрепленного в статье 17 (часть 3) Конституции Российской Федерации (определения Конституционного Суда Российской Федерации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Аманатиди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