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Козлова Владислава Викторовича на нарушение его конституционных прав частью 1 статьи 31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В.В.Козлова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В.В.Козлов оспаривает конституционность части 1 статьи 31 Жилищного кодекса Российской Федерации, определяющей круг лиц, относящихся к членам семьи собственника жилого помещения. Как следует из представленных материалов, апелляционным определением суда общей юрисдикции, с которым согласились суды кассационной инстанции, признано правомерным решение жилищной комиссии о снятии заявителя с учета для предоставления единовременной социальной выплаты для приобретения или строительства жилого помещения. Суды пришли к выводу, что он обеспечен жильем с превышением установленного норматива в качестве члена семьи 2 собственника квартиры (был вселен в жилое помещение, приобретенное бывшей супругой, в котором также проживают их дети, рожденные после расторжения брака). По мнению В.В.Козлова, оспариваемое законоположение нарушает конституционные права, закрепленные статьями 2, 19 (часть 1), 40 (части 1 и 2) и 45 (часть 1) Конституции Российской Федерации, поскольку допускает лишение гражданина права на жилищные гарантии в связи с признанием его членом семьи бывшей супруги.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Козлова Владислава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