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Клименко Аллы Николаевны на нарушение ее конституционных прав статьями 3892 и 4015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А.Н.Клименко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кассационного суда общей юрисдикции возвращена без рассмотрения поданная в интересах гражданки А.Н.Клименко, обвиняемой по уголовному делу, кассационная жалоба на постановление областного суда, которым отменено постановление районного суда о возвращении уголовного дела прокурору. В этой связи А.Н.Клименко утверждает, что статьи 3892 «Судебные решения, подлежащие апелляционному обжалованию» и 4015 «Возвращение кассационных жалобы, представления без рассмотрения» УПК Российской Федерации противоречат статьям 45–47 Конституции Российской Федерации, 2 поскольку запрещают обжалование решения суда апелляционной инстанции об отмене решения суда первой инстанции, которым уголовное дело возвращено прокурору.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Клименко Аллы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