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Утышева Александра Николаевича на нарушение его конституционных прав статьей 13.53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А.Н.Утышева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А.Н.Утышев оспаривает конституционность статьи 13.53 «Поиск заведомо экстремистских материалов и получение доступа к ним, в том числе с использованием программно-аппаратных средств доступа к информационным ресурсам, информационно-телекоммуникационным сетям, доступ к которым ограничен» КоАП Российской Федерации. Заявитель полагает, что оспариваемая норма создает несоразмерные ограничения прав, а также содержит неопределенность, позволяющую произвольно привлекать граждан к административной ответственности, и тем самым противоречит Конституции Российской Федерации, в частности ее статьям 18, 29 (части 1, 4 и 5) и 55 (часть 3).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Утышева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