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Савчук Оксаны Викторовны на нарушение ее конституционных прав пунктом 13 Положения об особенностях порядка исчисления средней заработной платы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О.В.Савчук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О.В.Савчук оспаривает конституционность пункта 13 Положения об особенностях порядка исчисления средней заработной платы (утверждено Постановлением Правительства Российской Федерации от 24 декабря 2007 года № 922), содержащего порядок определения среднего заработка работника, которому установлен суммированный учет рабочего времени, и, в частности, предусматривающего, что средний заработок определяется путем умножения среднего часового заработка на количество рабочих часов по графику работника в периоде, подлежащем оплате. Как следует из материалов жалобы, в 2022 году О.В.Савчук обратилась в суд с административным исковым заявлением о признании незаконным 2 бездействия должностного лица Министерства труда и социальной защиты Российской Федерации, выразившегося, в частности, в отсутствии конкретных разъяснений по существу поставленных в обращении вопросов. Суд, отказывая в удовлетворении данного искового заявления, указал, что оснований для признания оспариваемого бездействия административного ответчика незаконным не установлено, поскольку ответ на обращение О.В.Савчук дан уполномоченным органом в пределах предоставленной компетенции, при наличии предусмотренных законом оснований. По мнению заявительницы, оспариваемая норма противоречит Конституции Российской Федерации, ее статьям 2, 18, 19 (части 1 и 2), 37 (часть 3) и 55 (часть 3), поскольку устанавливает различные размеры выходного пособия работнику в зависимости от режима рабочего времени.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его конкретном деле. При этом гражданин обязан приложить к жалобе судебные решения, подтверждающие применение обжалуемого нормативного акта судом при разрешении конкретного дела, рассмотрение которого завершено менее одного года назад. Конкретным делом, по смыслу указанных положений Конституции Российской Федерации и названного Федерального конституционного закона, является то дело, в котором судом в установленной юрисдикционной процедуре разрешается затрагивающий 3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обстоятельства. Между тем в качестве правоприменительных актов О.В.Савчук представила судебные постановления по ее административному исковому заявлению, не подтверждающие наличие конкретного дела, в котором на основании оспариваемой нормы разрешался бы затрагивающий ее права и свободы вопрос.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Савчук Оксаны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