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«Шахта Сибирская» на нарушение его конституционных прав пунктом 2 статьи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«Шахта Сибирская»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«Шахта Сибирская» (далее также – ООО «Шахта Сибирская»), в отношении которого частично удовлетворены исковые требования поставщика о взыскании убытков в связи с нарушением обязательства по покупке товара, оспаривает конституционность пункта 2 статьи 393 ГК Российской Федерации, согласно которому убытки определяются в соответствии с правилами, предусмотренными статьей 15 данного Кодекса; возмещение убытков в полном размере означает, что в результате их возмещения кредитор должен 2 быть поставлен в положение, в котором он находился бы, если бы обязательство было исполнено надлежащим образом. По мнению заявителя, оспариваемое положение не соответствует статьям 19 (часть 1), 50 (часть 1) и 54 (часть 2) Конституции Российской Федерации в той мере, в какой по смыслу, придаваемому ему правоприменительной практикой, допускает возможность привлечения лица за одно и то же нарушение к гражданско-правовой ответственности одновременно по двум разным основаниям – и по общим нормам о возмещении убытков, и по специальным нормам об убытках, причиненных заключением замещающей сделки. В качестве альтернативы заявитель просит признать, что истолкование данной нормы арбитражным судом в деле с его участием расходится с правилами разрешения конкуренции общей и специальной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393 ГК Российской Федерации, отсылая к правилам, предусмотренным статьей 15 данного Кодекса, и развивая ее положения, устанавливает критерии полноты возмещения убытков, причиненных кредитору неисполнением или ненадлежащим исполнением обязательства, и тем самым служит реализации закрепленного в статье 35 (часть 1) Конституции Российской Федерации принципа охраны права частной собственности законом. Оспариваемое положение не может расцениваться как нарушающее в указанном в жалобе аспекте конституционные права заявителя, в деле с участием которого арбитражный суд кассационной инстанции, изменяя судебные акты нижестоящих судов, исходил из того, что истец не заявлял о возникновении у него убытков в связи с замещающей сделкой, а исковые требования направлены на получение упущенной выгоды в соответствии с общими положениями статей 15 и 393 ГК Российской Федерации. 3 Установление же и исследование фактических обстоятельств конкретного дела, оценка доказательств, а также выбор норм, подлежащих применению с учетом указанных обстоятельств,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«Шахта Сибирская»,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