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1375-О/2025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Жарко Вячеслава Владимировича на нарушение его конституционных прав пунктами 1 и 2 статьи 252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В.В.Жарко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В.В.Жарко оспаривает конституционность пунктов 1 и 2 статьи 252 «Раздел имущества, находящегося в долевой собственности, и выдел из него доли» ГК Российской Федерации. Из представленных материалов следует, что определением суда апелляционной инстанции, с которым согласился суд кассационной инстанции, признано право собственности хозяйственного общества на здание магазина в результате выделения доли указанного хозяйственного общества в праве общей долевой собственности на имущественный комплекс, в состав которого входит в том числе многоквартирный дом. 2 Определением судьи Верховного Суда Российской Федерации отказано в передаче кассационной жалобы заявителя для ее рассмотрения в судебном заседании суда кассационной инстанции. По мнению В.В.Жарко, оспариваемые законоположения противоречат статьям 35 (часть 1), 36 (часть 1) и 40 (части 1 и 2) Конституции Российской Федерации в той мере, в какой в системе действующего правового регулирования по смыслу, придаваемому им правоприменительной практикой, они позволяют выделять в натуре долю в праве общей долевой собственности на общее имущество собственников помещений в многоквартирном доме.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Жарко Вячеслава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