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Каданцева Дмитрия Владимировича на нарушение его конституционных прав частью первой статьи 64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Д.В.Каданцева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Д.В.Каданцев оспаривает конституционность части первой статьи 64 Трудового кодекса Российской Федерации, согласно которой запрещается необоснованный отказ в заключении трудового договора. По мнению заявителя, оспариваемая норма, примененная в его деле судом, противоречит Конституции Российской Федерации, в том числе ее статьям 18, 29 (часть 4) и 37 (часть 1), поскольку не содержит обязанности работодателя размещать в открытом доступе сведения о наличии вакантных должностей, сообщать о них по запросам граждан и указывать требования к 2 работнику для замещения вакантной должности, а также позволяет судам не оценивать обстоятельства, свидетельствующие о дискриминации при трудоустройстве.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64 Трудового кодекса Российской Федерации, устанавливающие во взаимосвязи со статьей 3 данного Кодекса правовой механизм, гарантирующий защиту от необоснованного отказа в заключении трудового договора, отвечают конституционным требованиям (статья 19, часть 2, Конституции Российской Федерации) и согласуются со статьей 1 Конвенции МОТ № 111 относительно дискриминации в области труда и занятий (принята в городе Женеве 25 июня 1958 года).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Каданцева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