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512-О/2025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Седнева Владимира Анатольевича на нарушение его конституционных прав частью второй статьи 135 Трудового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В.А.Седнева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В.А.Седнев оспаривает конституционность части второй статьи 135 Трудового кодекса Российской Федерации, в соответствии с которой системы оплаты труда, включая размеры тарифных ставок, окладов (должностных окладов), доплат и надбавок компенсационного характера, в том числе за работу в условиях, отклоняющихся от нормальных, системы доплат и надбавок стимулирующего характера и системы премирования, устанавливаются коллективными договорами, соглашениями, локальными нормативными актами в соответствии с трудовым законодательством и иными нормативными правовыми актами, содержащими нормы трудового права. 2 По мнению заявителя, оспариваемая норма, примененная в его деле судами общей юрисдикции, противоречит статьям 12, 17, 18, 19 (части 1 и 2), 37 (часть 3), 55 (часть 3), 75 (часть 5) и 751 Конституции Российской Федерации, поскольку позволяет работодателю произвольно устанавливать правила определения видов и порядка выплат стимулирующего характера без гарантий защиты работника как слабой стороны трудовых отношений и тем самым позволяет работодателю обходить обязанность осуществлять указанные выплаты.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Часть вторая статьи 135 Трудового кодекса Российской Федерации, предполагающая определение размера, условий и периодичности премирования, в том числе в локальных нормативных актах в соответствии с трудовым законодательством и иными нормативными правовыми актами, содержащими нормы трудового права, создает условия для учета особенностей организации труда и осуществления трудовой деятельности у конкретного работодателя, реализации такого принципа правового регулирования трудовых отношений, как обеспечение права каждого работника на выплату справедливой заработной платы, а также согласуется с принципом сочетания государственного и договорного регулирования трудовых отношений (статья 2 данного Кодекса). Кроме того, вопреки утверждению заявителя, она не предполагает произвольного – без учета требований трудового законодательства – установления правил определения видов и порядка осуществления выплат стимулирующего характера. Следовательно, оспариваемое положение Трудового кодекса Российской Федерации не может расцениваться как нарушающее права заявителя в указанном в жалобе аспекте. Проверка же обоснованности принятых по делу В.А.Седнева судебных постановлений, равно как и оценка реализации работодателем предписаний закона об установлении порядка и условий выплат стимулирующего 3 характера в соответствии с принципами трудового законодательства, к компетенции Конституционного Суда Российской Федерации, определенной в статье 125 Конституции Российской Федерации и статье 3 Федерального конституционного закона «О Конституционном Суде Российской Федерации», не относится.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Седнева Владимира Анатольевича,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