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Бахтиной Ольги Владимировны на нарушение ее конституционных прав пунктом 1 статьи 310 Гражданского кодекса Российской Федерации, а также пунктом 4 статьи 29 и статьей 30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О.В.Бахтиной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О.В.Бахтина, которой отказано в удовлетворении исковых требований к обществу с ограниченной ответственностью о защите прав потребителя, в том числе о расторжении договоров на изготовление мебели, взыскании уплаченных денежных средств, оспаривает конституционность пункта 1 статьи 310 «Недопустимость одностороннего отказа от исполнения обязательства» ГК Российской Федерации, а также пункта 4 статьи 29 «Права потребителя при обнаружении недостатков выполненной работы (оказанной услуги)» и статьи 30 «Сроки устранения 2 недостатков выполненной работы (оказанной услуги)» Закона Российской Федерации от 7 февраля 1992 года № 2300-I «О защите прав потребителей». Как следует из представленных материалов, отказывая в удовлетворении иска, суды, среди прочего, исходили из того, что результат работ соответствует эскизам, являющимся приложением к спорным договорам, при этом О.В.Бахтина не предъявляла исполнителю в надлежащей письменной форме требования об устранении недостатков результата работ с указанием конкретных недостатков и с установлением срока их устранения. По мнению заявительницы, оспариваемые положения противоречат Конституции Российской Федерации, ее статье 46 (часть 1), в той мере, в какой по смыслу, придаваемому им правоприменительной практикой, они не содержат никаких требований к доказательствам изменения условий договора и предъявления потребителем претензий исполнителю относительно выявленных недостатков, создавая ситуацию, при которой потребитель не может доказать факт согласования проекта (эскиза мебели) и факт уведомления исполнителя о недостатках, если общение потребителя с исполнителем осуществлялось посредством телефонных переговоров и обмена сообщениями в мессенджере.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доводов заявительницы, конституционность указанных законоположений оспаривается ею лишь формально, фактически же О.В.Бахтина предлагает Конституционному Суду Российской Федерации дать оценку их применению судами в деле с ее участием, что требует установления и исследования фактических обстоятельств конкретного дела и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Бахтиной Ольги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