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Чуприны Виталия Витальевича на нарушение его конституционных прав пунктом 1 части второй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В.В.Чуприны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В.В.Чуприна,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отказано, с чем согласился заместитель Председателя этого суда, оспаривает конституционность пункта 1 части второй статьи 3907 «Рассмотрение кассационных жалобы, представления» ГПК Российской Федерации. В.В.Чуприна просит проверить конституционность оспариваемой нормы, поскольку она, по его мнению, позволяет судье Верховного Суда Российской 2 Федерации единолично отказывать в передаче кассационной жалобы для рассмотрения в судебном заседании Судебной коллегии по гражданским делам этого суда, создает препятствие для дальнейшего движения дела, тем самым препятствует реализации его права на судебную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Чуприны Виталия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