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Колмакова Николая Анатольевича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Н.А.Колмакова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Н.А.Колмаков оспаривает конституционность части второй статьи 12 «Осуществление правосудия на основе состязательности и равноправия сторон», пункта 1 части первой и пункта 1 части второй статьи 149 «Действия сторон при подготовке дела к судебному разбирательству», а также пункта 1 части четвертой статьи 198 «Содержание решения суда» ГПК Российской Федерации. Как следует из представленных материалов, решением мирового судьи, оставленным без изменения судами вышестоящих инстанций, были частично удовлетворены исковые требования садового некоммерческого товарищества 2 к ряду ответчиков, в том числе к Н.А.Колмакову, о взыскании задолженности и процентов за пользование чужими денежными средствами. В связи с этим заявитель просит признать оспариваемые законоположения не соответствующими статье 123 (часть 3) Конституции Российской Федерации в той мере, в какой они содержат неопределенность терминов «фактические обстоятельства» и «фактические основания», а также полагает необходимым внести сформулированные им изменения и дополнения в Гражданский процессуальный кодекс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12, пункт 1 части первой, пункт 1 части второй статьи 149 и пункт 1 части четвертой статьи 198 ГПК Российской Федерации, закрепляющие перечень полномочий суда, вытекающих из принципов самостоятельности судебной власти и судейского руководства процессом, порядок действий судьи при подготовке дела к судебному разбирательству, а также требования к содержанию решения суда, в частности к его мотивировочной части, во взаимосвязи с другими предписаниями этого Кодекса, в том числе установленными в статье 2, части второй статьи 56, абзаце втором статьи 148 и части первой статьи 195, призваны обеспечить вынесение законного и обоснованного судебного постановления, не предполагают произвольного их применения и являются процессуальными гарантиями права на судебную защиту. При этом использование в названных нормах таких терминов, как «фактические обстоятельства» и «фактические основания», не препятствует их единообразному пониманию и применению. Из материалов жалобы усматривается, что заявитель, формально указывая на имеющуюся, по его мнению, неопределенность этих терминов, фактически выражает сомнение в правильности установления судом обстоятельств, имеющих значение для рассмотрения дела. Однако разрешение данного вопроса, равно как и внесение в законодательство целесообразных, по мнению Н.А.Колмакова, 3 изменений,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Колмакова Николая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