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абзацем восьмым статьи 215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абзаца восьмого (ошибочно названного в жалобе пунктом 7 части 1) статьи 215 Трудового кодекса Российской Федерации, закрепляющего одну из обязанностей работника в области охраны труда. По мнению заявителя, оспариваемая норма не соответствует статье 7 (часть 2) Конституции Российской Федерации, поскольку в системе действующего правового регулирования предоставляет суду возможность ее произвольного истолкования, как обязывающую работника информировать 2 работодателя о своей болезни при открытии листка временной нетрудоспособности.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закрепляет право каждого на труд в условиях, отвечающих требованиям безопасности и гигиены (статья 37, часть 3). Данное конституционное положение конкретизируется в Трудовом кодексе Российской Федерации, который возлагает на работодателя обязанность по обеспечению безопасных условий и охраны труда, включая медицинское обеспечение работников в соответствии с требованиями охраны труда, доставку работников, заболевших на рабочем месте, в медицинскую организацию в случае необходимости оказания им неотложной медицинской помощи (часть первая и абзац девятнадцатый части третьей статьи 214). Наряду с этим работник также должен соблюдать требования по охране труда и обеспечению безопасности труда и обязан 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указанными в части второй статьи 227 данного Кодекса,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заболевания, острого отравления (абзац шестой части второй статьи 21, абзацы первый и восьмой статьи 215 Трудового кодекса Российской Федерации). Таким образом, оспариваемое законоположение – в системе действующего правового регулирования – имеет целью сохранение жизни и здоровья работников и не может расцениваться как нарушающее конституционные права заявителя. 3 Доводы, приведенные А.Ю.Печориным в обоснование своей позиции, свидетельствуют о том, что он фактически просит проверить обоснованность вынесенных по делу с его участием судебных определений, что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