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«Нестле Россия» на нарушение его конституционных прав пунктом 1 статьи 302 Гражданского кодекса Российской Федерации и частью 4 статьи 69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«Нестле Россия»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«Нестле Россия» (далее также – общество) оспаривает конституционность пункта 1 статьи 302 «Истребование имущества от добросовестного приобретателя» ГК Российской Федерации и части 4 статьи 69 «Основания освобождения от доказывания» АПК Российской Федерации. По мнению общества, оспариваемые положения противоречат статьям 1 (часть 1), 45 (часть 2), 46 (часть 1), 47 (часть 1), 751 и 118 (часть 2) Конституции Российской Федерации в той мере, в какой по смыслу, придаваемому им правоприменительной практикой, содержащиеся в них нормы позволяют судам, 2 рассматривающим дела в порядке арбитражного судопроизводства, отождествлять понятие «хищение» в уголовном и гражданском законодательстве, признавать в рамках арбитражного судопроизводства преюдициальное значение приговора по уголовному делу в вопросе о том, по воле или против воли собственника имущество выбыло из его владения.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«Нестле Россия»,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