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Легезы Натальи Борисовны на нарушение ее конституционных прав пунктом 1 части 1 статьи 128 и пунктом 1 части 1 статьи 194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Н.Б.Легезы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Н.Б.Легеза оспаривает конституционность пункта 1 части 1 статьи 128 «Отказ в принятии административного искового заявления» и пункта 1 части 1 статьи 194 «Основания для прекращения производства по административному делу» КАС Российской Федерации. Как следует из представленных материалов, определением районного суда, с которым согласились вышестоящие суды, на основании пункта 1 части 1 статьи 194 КАС Российской Федерации прекращено производство по административному делу об оспаривании Н.Б.Легезой решения сотрудника 2 аппарата Государственной Думы Федерального Собрания Российской Федерации о прекращении с нею переписки. По мнению заявительницы, оспариваемые законоположения не соответствуют статье 33 Конституции Российской Федерации, поскольку позволяют суду произвольно прекращать производство по административному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Легезы Натальи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