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Ларичева Владимира Алексеевича на нарушение его конституционных прав частью 1 статьи 127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В.А.Ларичева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В.А.Ларичев, который ответами должностных лиц аппарата Верховного Суда Российской Федерации был уведомлен о том, что разрешение поставленных им вопросов в жалобе на действия (бездействие) квалификационной коллегии судей города Москвы не относится к полномочиям Дисциплинарной коллегии Верховного Суда Российской Федерации, оспаривает конституционность части 1 статьи 127 «Принятие административного искового заявления» КАС Российской Федерации. По мнению заявителя, оспариваемое законоположение не соответствует статьям 45, 46 (части 1 и 2) и 47 (часть 1) Конституции Российской Федерации, поскольку позволяет должностным лицам аппарата Верховного Суда 2 Российской Федерации принимать процессуальные решения по направленным в этот суд обращениям.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Ларичева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