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ухнова Сергея Игнатьевича на нарушение его конституционных прав пунктом 1 статьи 11 Гражданского кодекса Российской Федерации и частью четвертой статьи 1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Трух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Трухнов просит признать не соответствующим Конституции Российской Федерации пункт 1 статьи 11 ГК Российской Федерации, согласно которому защиту нарушенных или оспоренных гражданских прав осуществляет суд, арбитражный суд или третейский суд в соответствии с их компетенцией. Заявитель также оспаривает конституционность части четвертой статьи 11 Трудового кодекса Российской Федерации, в соответствии с которой к отношениям, связанным с использованием личного труда, возникшим на основании гражданско-правового договора, применяются положения 2 трудового законодательства и иных актов, содержащих нормы трудового права, если такие отношения в порядке, установленном данным Кодексом, другими федеральными законами, были признаны трудовыми. По мнению С.И.Трухнова, оспариваемые нормы, примененные в его деле судом, противоречат статьям 7, 17 (часть 1), 18, 37 (части 3 и 4), 46 (часть 1), 55, 75 (часть 5) и 751 Конституции Российской Федерации, поскольку позволяют не признавать трудовыми отношения, связанные с использованием личного труда, и не применять к ним трудовое законодательство и иные акты, содержащие нормы трудового права, а также умаляют право работника на предоставление ему документов, связанных с работой, для включения периодов работы в специальный стаж, дающий право на досрочное назначение пен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1 ГК Российской Федерации, предусматривающий возможность защиты нарушенных или оспоренных гражданских прав государственным или третейским судом, развивает положения статей 45 (часть 2) и 46 (часть 1) Конституции Российской Федерации, непосредственно не регулирует выдачу работникам документов, связанных с работой, и не может расцениваться как нарушающий конституционные права заявителя. Оспариваемая норма Трудового кодекса Российской Федерации имеет целью достижение соответствия между фактически складывающимися отношениями и их юридическим оформлением, направлена на обеспечение баланса конституционных прав и свобод сторон трудового договора, а также надлежащей защиты прав и законных интересов работника как экономически более слабой стороны в трудовом правоотношении, призвана исключить неопределенность в характере отношений, возникших на основании гражданско-правового договора, и правовом положении сторон такого договора, а потому не может рассматриваться как нарушающая права 3 заявителя, которому суд отказал в удовлетворении требования об установлении факта трудовых отношений в определенные период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ухнова Сергея Игнат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