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Манькова Александра Борисовича на нарушение его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А.Б.Манькова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А.Б.Маньков оспаривает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Как следует из представленных материалов, определением суда кассационной инстанции оставлены без изменения решение мирового судьи (принятое после направления дела на новое рассмотрение) и апелляционное определение суда апелляционной инстанции по делу с участием А.Б.Манькова. Кассационная жалоба заявителя на определение суда 2 кассационной инстанции, направленная в судебную коллегию Верховного Суда Российской Федерации, была возвращена Верховным Судом Российской Федерации без рассмотрения по существу. По мнению А.Б.Манькова, оспариваемое законоположение не соответствует статьям 46 (часть 1) и 47 (часть 1) Конституции Российской Федерации, поскольку оно исключает возможность подачи кассационной жалобы в Судебную коллегию по гражданским делам Верховного Суда Российской Федерации на определение кассационного суда общей юрисдикции, которым было оставлено без изменения решение мирового судьи, противоречащее судебному постановлению, ранее принятому по тому же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Манькова Александра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