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Михайловой Надежды Александровны на нарушение ее конституционных прав пунктом 1 статьи 36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Н.А.Михайловой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Н.А.Михайлова оспаривает конституционность пункта 1 статьи 36 Семейного кодекса Российской Федерации, предусматривающего, что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Из представленных материалов следует, что при разделе общего имущества супругов, брак которых расторгнут, суд апелляционной инстанции в определении, оставленном без изменения определением 2 кассационного суда общей юрисдикции, среди прочего исходил из того, что к собственности бывшего супруга Н.А.Михайловой относится жилое помещение, право собственности на которое признано за ним в порядке приватизации решением суда по иному спору. В передаче кассационной жалобы заявительницы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 По мнению Н.А.Михайловой, оспариваемое положение противоречит статье 35 Конституции Российской Федерации, поскольку по смыслу, придаваемому ему правоприменительной практикой, а именно в деле с ее участием, оно позволило признать за ее бывшим супругом право собственности на спорное жилое помещение.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36 Семейного кодекса Российской Федерации, устанавливающий критерии отнесения имущества к собственности каждого из супругов, не препятствует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29 сентября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Михайловой Надежды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