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Рындина Ивана Валерьевича на нарушение его конституционных прав пунктом 4 части 1 статьи 29.10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И.В.Рындина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И.В.Рындин оспаривает конституционность пункта 4 части 1 статьи 29.10 «Постановление по делу об административном правонарушении» КоАП Российской Федерации. Как следует из представленных материалов, постановлением уполномоченного должностного лица, оставленным без изменения судами, И.В.Рындин был привлечен к административной ответственности за мелкое хулиганство (часть 1 статьи 20.1 КоАП Российской Федерации). По мнению заявителя, оспариваемое законоположение не соответствует статьям 4 (часть 2) и 15 (часть 2) Конституции Российской Федерации, 2 поскольку позволяет должностному лицу не указывать в постановлении по делу об административном правонарушении установленные при рассмотрении дела обстоятельства, касающиеся, в частности, объективной стороны административного правонарушения, личности лица, в отношении которого ведется производство по делу об административном правонарушении, а также сведений о вине указанного лица в совершении административного правонарушения и ее форме.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Рындина Ивана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