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Маринюка Владимира Ильича на нарушение его конституционных прав пунктом 2 части первой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В.И.Маринюка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В.И.Маринюк оспаривает конституционность пункта 2 части первой статьи 81 Трудового кодекса Российской Федерации, согласно которому трудовой договор может быть расторгнут работодателем в случае сокращения численности или штата работников организации, индивидуального предпринимателя. По мнению заявителя, оспариваемая норма, примененная судом в его деле, касающемся в том числе нарушения процедуры увольнения в связи с сокращением штата работников бюджетного учреждения, противоречит статьям 17 (часть 3) и 37 (части 1 и 2) Конституции Российской Федерации, 2 поскольку позволяет работодателю увольнять работника по данному основанию без указания причин сокращения численности или штата работников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Маринюка Владимира Ильича,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