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Плохих Владимира Григорьевича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В.Г.Плохих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В.Г.Плохих, которому отказано в удовлетворении заявления о пересмотре вынесенного по гражданскому делу с его участием решения суда по вновь открывшимся обстоятельствам,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и полагает, что она противоречит статьям 1, 2, 15 (части 1 и 2), 17 (часть 1), 18, 19 (часть 1), 23 (часть 1), 35 (часть 1), 46 (части 1 и 2), 55 и 120 Конституции Российской Федерации, поскольку в системе действующего правового 2 регулирования по смыслу, придаваемому ей правоприменительной практикой, позволяет суду рассматривать вопрос о преступности деяний сторон и их представителей в порядке гражданского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392 ГПК Российской Федерации, устанавливающая перечень оснований для пересмотра вступивших в законную силу судебных постановлений по вновь открывшимся обстоятельствам, не регулирует процедурные вопросы, возникающие при рассмотрении по существу заявлений о таком пересмотре. Соответствующий порядок установлен статьей 396 ГПК Российской Федерации, положения которой – в системной связи с общими правилами гражданского процессуального законодательства, в частности закрепленными в статьях 2, 12, 56, 67 и 196 ГПК Российской Федерации, – предусматривают необходимость рассмотрения заявлений о пересмотре судебного акта по вновь открывшимся обстоятельствам в судебном заседании с извещением лиц, участвующих в деле, о времени и месте судебного заседания. Суд исследует и оценивает доказательства, представленные в подтверждение наличия вновь открывшихся или новых обстоятельств по делу, заслушивает объяснения участвующих в деле лиц, совершает иные процессуальные действия, необходимые для вынесения законного и обоснованного постановления по результатам такого рассмотрения. Вопреки утверждениям заявителя, суды при реализации указанных полномочий не оценивали преступность действий сторон по делу, а решали вопросы наличия достаточных оснований для отмены вступившего в законную силу решения суда в условиях действия принципов правовой определенности и стабильности гражданско-правовых отношений. Таким образом, часть третья статьи 392 ГПК Российской Федерации не может расцениваться как нарушающая конституционные права заявителя в указанном в жалобе аспекте.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Плохих Владимира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