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статьей 3892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В.И.Попков, обвиняемый в совершении преступлений, обжаловал в апелляционном порядке постановление о назначении судебного заседания в части разрешения заявленных перед судом ходатайств. Письмом судьи жалоба возвращена без рассмотрения, поскольку законом не предусмотрена возможность отдельного оспаривания судебного решения по такого рода вопросам; заявителю разъяснено право обжаловать это решение (в указанной части) только наряду с итоговым решением суда по его делу. В этой связи В.И.Попков просит признать не соответствующей Конституции Российской Федерации статью 3892 «Судебные решения, 2 подлежащие апелляционному обжалованию» УПК Российской Федерации, как препятствующую самостоятельному обжалованию постановления о назначении судебного заседания (в части разрешения судом ходатайств, заявленных на предварительном слушании), а также позволяющую суду возвращать такую жалобу письмом без вынесения по ней надлежащим образом оформленного судебного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проверке конституционности статьи 3892 УПК Российской Федерации уже ставился В.И.Попковым в его предшествующей жалобе, по которой Конституционным Судом Российской Федерации вынесено Определение от 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